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17"/>
        </w:rPr>
      </w:pPr>
    </w:p>
    <w:p>
      <w:pPr>
        <w:spacing w:before="71"/>
        <w:ind w:left="4988" w:right="4791" w:firstLine="0"/>
        <w:jc w:val="center"/>
        <w:rPr>
          <w:b/>
          <w:bCs/>
          <w:sz w:val="32"/>
          <w:szCs w:val="32"/>
        </w:rPr>
      </w:pPr>
      <w:bookmarkStart w:id="0" w:name="端州区涉农补贴领域基层政务公开标准目录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阳江高新</w:t>
      </w:r>
      <w:r>
        <w:rPr>
          <w:b/>
          <w:bCs/>
          <w:sz w:val="32"/>
          <w:szCs w:val="32"/>
        </w:rPr>
        <w:t>区</w:t>
      </w:r>
      <w:r>
        <w:rPr>
          <w:rFonts w:hint="eastAsia"/>
          <w:b/>
          <w:bCs/>
          <w:sz w:val="32"/>
          <w:szCs w:val="32"/>
          <w:lang w:eastAsia="zh-CN"/>
        </w:rPr>
        <w:t>卫生健康</w:t>
      </w:r>
      <w:r>
        <w:rPr>
          <w:b/>
          <w:bCs/>
          <w:sz w:val="32"/>
          <w:szCs w:val="32"/>
        </w:rPr>
        <w:t>领域基层政务公开标准目录</w:t>
      </w:r>
    </w:p>
    <w:p>
      <w:pPr>
        <w:pStyle w:val="2"/>
        <w:rPr>
          <w:sz w:val="20"/>
        </w:rPr>
      </w:pPr>
    </w:p>
    <w:p>
      <w:pPr>
        <w:pStyle w:val="2"/>
        <w:spacing w:before="5" w:after="1"/>
        <w:rPr>
          <w:sz w:val="21"/>
        </w:r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722"/>
        <w:gridCol w:w="963"/>
        <w:gridCol w:w="3574"/>
        <w:gridCol w:w="2259"/>
        <w:gridCol w:w="1815"/>
        <w:gridCol w:w="704"/>
        <w:gridCol w:w="926"/>
        <w:gridCol w:w="685"/>
        <w:gridCol w:w="666"/>
        <w:gridCol w:w="500"/>
        <w:gridCol w:w="926"/>
        <w:gridCol w:w="556"/>
        <w:gridCol w:w="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55" w:type="dxa"/>
            <w:vMerge w:val="restart"/>
          </w:tcPr>
          <w:p>
            <w:pPr>
              <w:pStyle w:val="8"/>
              <w:spacing w:before="177" w:line="266" w:lineRule="auto"/>
              <w:ind w:left="116" w:right="10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685" w:type="dxa"/>
            <w:gridSpan w:val="2"/>
          </w:tcPr>
          <w:p>
            <w:pPr>
              <w:pStyle w:val="8"/>
              <w:spacing w:before="16" w:line="276" w:lineRule="exact"/>
              <w:ind w:left="40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公开事项</w:t>
            </w:r>
          </w:p>
        </w:tc>
        <w:tc>
          <w:tcPr>
            <w:tcW w:w="3574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ind w:left="906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公开内容（要素）</w:t>
            </w:r>
          </w:p>
        </w:tc>
        <w:tc>
          <w:tcPr>
            <w:tcW w:w="2259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ind w:left="688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公开依据</w:t>
            </w:r>
          </w:p>
        </w:tc>
        <w:tc>
          <w:tcPr>
            <w:tcW w:w="1815" w:type="dxa"/>
            <w:vMerge w:val="restart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ind w:left="466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公开时限</w:t>
            </w:r>
          </w:p>
        </w:tc>
        <w:tc>
          <w:tcPr>
            <w:tcW w:w="704" w:type="dxa"/>
            <w:vMerge w:val="restart"/>
          </w:tcPr>
          <w:p>
            <w:pPr>
              <w:pStyle w:val="8"/>
              <w:spacing w:before="177" w:line="266" w:lineRule="auto"/>
              <w:ind w:left="132" w:right="11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公开主体</w:t>
            </w:r>
          </w:p>
        </w:tc>
        <w:tc>
          <w:tcPr>
            <w:tcW w:w="926" w:type="dxa"/>
            <w:vMerge w:val="restart"/>
          </w:tcPr>
          <w:p>
            <w:pPr>
              <w:pStyle w:val="8"/>
              <w:spacing w:before="21" w:line="266" w:lineRule="auto"/>
              <w:ind w:left="131" w:right="122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公开渠道和载</w:t>
            </w:r>
          </w:p>
          <w:p>
            <w:pPr>
              <w:pStyle w:val="8"/>
              <w:spacing w:line="279" w:lineRule="exact"/>
              <w:ind w:left="10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体</w:t>
            </w:r>
          </w:p>
        </w:tc>
        <w:tc>
          <w:tcPr>
            <w:tcW w:w="1351" w:type="dxa"/>
            <w:gridSpan w:val="2"/>
          </w:tcPr>
          <w:p>
            <w:pPr>
              <w:pStyle w:val="8"/>
              <w:spacing w:before="16" w:line="276" w:lineRule="exact"/>
              <w:ind w:left="23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公开对象</w:t>
            </w:r>
          </w:p>
        </w:tc>
        <w:tc>
          <w:tcPr>
            <w:tcW w:w="1426" w:type="dxa"/>
            <w:gridSpan w:val="2"/>
          </w:tcPr>
          <w:p>
            <w:pPr>
              <w:pStyle w:val="8"/>
              <w:spacing w:before="16" w:line="276" w:lineRule="exact"/>
              <w:ind w:left="27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公开方式</w:t>
            </w:r>
          </w:p>
        </w:tc>
        <w:tc>
          <w:tcPr>
            <w:tcW w:w="1105" w:type="dxa"/>
            <w:gridSpan w:val="2"/>
          </w:tcPr>
          <w:p>
            <w:pPr>
              <w:pStyle w:val="8"/>
              <w:spacing w:before="16" w:line="276" w:lineRule="exact"/>
              <w:ind w:left="11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2" w:type="dxa"/>
          </w:tcPr>
          <w:p>
            <w:pPr>
              <w:pStyle w:val="8"/>
              <w:spacing w:before="16"/>
              <w:ind w:left="1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一级</w:t>
            </w:r>
          </w:p>
          <w:p>
            <w:pPr>
              <w:pStyle w:val="8"/>
              <w:spacing w:before="30" w:line="276" w:lineRule="exact"/>
              <w:ind w:left="1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事项</w:t>
            </w:r>
          </w:p>
        </w:tc>
        <w:tc>
          <w:tcPr>
            <w:tcW w:w="963" w:type="dxa"/>
          </w:tcPr>
          <w:p>
            <w:pPr>
              <w:pStyle w:val="8"/>
              <w:spacing w:before="16"/>
              <w:ind w:left="131" w:right="12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二级事</w:t>
            </w:r>
          </w:p>
          <w:p>
            <w:pPr>
              <w:pStyle w:val="8"/>
              <w:spacing w:before="30" w:line="276" w:lineRule="exact"/>
              <w:ind w:left="7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项</w:t>
            </w:r>
          </w:p>
        </w:tc>
        <w:tc>
          <w:tcPr>
            <w:tcW w:w="35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5" w:type="dxa"/>
          </w:tcPr>
          <w:p>
            <w:pPr>
              <w:pStyle w:val="8"/>
              <w:spacing w:before="16"/>
              <w:ind w:left="12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全社</w:t>
            </w:r>
          </w:p>
          <w:p>
            <w:pPr>
              <w:pStyle w:val="8"/>
              <w:spacing w:before="30" w:line="276" w:lineRule="exact"/>
              <w:ind w:left="23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会</w:t>
            </w:r>
          </w:p>
        </w:tc>
        <w:tc>
          <w:tcPr>
            <w:tcW w:w="666" w:type="dxa"/>
          </w:tcPr>
          <w:p>
            <w:pPr>
              <w:pStyle w:val="8"/>
              <w:spacing w:before="16"/>
              <w:ind w:left="11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特定</w:t>
            </w:r>
          </w:p>
          <w:p>
            <w:pPr>
              <w:pStyle w:val="8"/>
              <w:spacing w:before="30" w:line="276" w:lineRule="exact"/>
              <w:ind w:left="11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群众</w:t>
            </w:r>
          </w:p>
        </w:tc>
        <w:tc>
          <w:tcPr>
            <w:tcW w:w="500" w:type="dxa"/>
          </w:tcPr>
          <w:p>
            <w:pPr>
              <w:pStyle w:val="8"/>
              <w:spacing w:before="16"/>
              <w:ind w:left="13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主</w:t>
            </w:r>
          </w:p>
          <w:p>
            <w:pPr>
              <w:pStyle w:val="8"/>
              <w:spacing w:before="30" w:line="276" w:lineRule="exact"/>
              <w:ind w:left="13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动</w:t>
            </w:r>
          </w:p>
        </w:tc>
        <w:tc>
          <w:tcPr>
            <w:tcW w:w="926" w:type="dxa"/>
          </w:tcPr>
          <w:p>
            <w:pPr>
              <w:pStyle w:val="8"/>
              <w:spacing w:before="16"/>
              <w:ind w:left="13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依申请</w:t>
            </w:r>
          </w:p>
          <w:p>
            <w:pPr>
              <w:pStyle w:val="8"/>
              <w:spacing w:before="30" w:line="276" w:lineRule="exact"/>
              <w:ind w:left="2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</w:t>
            </w:r>
          </w:p>
        </w:tc>
        <w:tc>
          <w:tcPr>
            <w:tcW w:w="556" w:type="dxa"/>
          </w:tcPr>
          <w:p>
            <w:pPr>
              <w:pStyle w:val="8"/>
              <w:spacing w:before="16"/>
              <w:ind w:left="16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县</w:t>
            </w:r>
          </w:p>
          <w:p>
            <w:pPr>
              <w:pStyle w:val="8"/>
              <w:spacing w:before="30" w:line="276" w:lineRule="exact"/>
              <w:ind w:left="16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级</w:t>
            </w:r>
          </w:p>
        </w:tc>
        <w:tc>
          <w:tcPr>
            <w:tcW w:w="549" w:type="dxa"/>
          </w:tcPr>
          <w:p>
            <w:pPr>
              <w:pStyle w:val="8"/>
              <w:spacing w:before="16"/>
              <w:ind w:left="16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乡</w:t>
            </w:r>
          </w:p>
          <w:p>
            <w:pPr>
              <w:pStyle w:val="8"/>
              <w:spacing w:before="30" w:line="276" w:lineRule="exact"/>
              <w:ind w:left="16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</w:p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</w:p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广东省计划生育服务证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广东省计划生育服务证</w:t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法律法规和政策文件；办事指南，包括：适用范围、办理依据、办理条件、申办材料、办理方式、办理流程、办理时限、咨询方式、咨询投诉渠道、办理地址和时间、办理进程、结果查询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【部门规章及规范性文件】《国家卫生健康 </w:t>
            </w:r>
          </w:p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委办公厅关于做好生育登记服务工作的指导 </w:t>
            </w:r>
          </w:p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意见》（国卫办指导发〔2016〕20 号）</w:t>
            </w:r>
          </w:p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</w:p>
        </w:tc>
        <w:tc>
          <w:tcPr>
            <w:tcW w:w="1815" w:type="dxa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</w:p>
        </w:tc>
        <w:tc>
          <w:tcPr>
            <w:tcW w:w="704" w:type="dxa"/>
          </w:tcPr>
          <w:p>
            <w:pPr>
              <w:pStyle w:val="8"/>
              <w:spacing w:before="143" w:line="249" w:lineRule="auto"/>
              <w:ind w:left="170" w:right="161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/>
              <w:jc w:val="left"/>
              <w:rPr>
                <w:sz w:val="18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</w:p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</w:p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2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生育登记服务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生育登记和再生育审批</w:t>
            </w:r>
          </w:p>
        </w:tc>
        <w:tc>
          <w:tcPr>
            <w:tcW w:w="3574" w:type="dxa"/>
            <w:vAlign w:val="top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法律法规和政策文件；办事指南，包括：适用范围、办理依据、办理条件、申办材料、办理方式、办理流程、办理时限、咨询方式、咨询投诉渠道、办理地址和时间、办理进程、结果查询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  <w:p>
            <w:pPr>
              <w:pStyle w:val="8"/>
              <w:spacing w:before="9" w:line="206" w:lineRule="exact"/>
              <w:ind w:left="10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2259" w:type="dxa"/>
            <w:vAlign w:val="top"/>
          </w:tcPr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【部门规章及规范性文件】《国家卫生健康 </w:t>
            </w:r>
          </w:p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委办公厅关于做好生育登记服务工作的指导 </w:t>
            </w:r>
          </w:p>
          <w:p>
            <w:pPr>
              <w:pStyle w:val="8"/>
              <w:spacing w:before="40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意见》（国卫办指导发〔2016〕20 号）</w:t>
            </w:r>
          </w:p>
          <w:p>
            <w:pPr>
              <w:pStyle w:val="8"/>
              <w:spacing w:before="40" w:line="324" w:lineRule="auto"/>
              <w:ind w:left="107" w:leftChars="0" w:right="97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before="4"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3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《出生医学证明》办理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《出生医学证明》签发、换发和补发</w:t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法律法规和政策文件；办理流程、办理材料、办理时限和咨询投诉渠道</w:t>
            </w: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【法律】《中华人民共和国母婴保健法》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（1994 年 10 月 27 日中华人民共和国主席令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第 33 号 2017 年 11 月 4 日修正）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【行政法规】《中华人民共和国母婴保健法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实施办法》（中华人民共和国国务院令第 308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【部门规章及规范性文件】《关于启用新版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出生医学证明（第六版）的通知》（国卫办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妇幼发〔2018）38 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right="95"/>
              <w:jc w:val="both"/>
              <w:rPr>
                <w:sz w:val="18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4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t>护士执业证书核发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fldChar w:fldCharType="begin"/>
            </w:r>
            <w:r>
              <w:rPr>
                <w:rFonts w:hint="eastAsia"/>
                <w:sz w:val="18"/>
                <w:lang w:val="zh-CN" w:eastAsia="zh-CN"/>
              </w:rPr>
              <w:instrText xml:space="preserve"> HYPERLINK "http://19.15.0.100/zwml-admin/admin4/subject/implement/list/detail/2c4da0c2418f4c3186a92b979883b8e8" \t "http://19.15.0.100/zwml-admin/admin4/subject/implement/list/_blank" </w:instrText>
            </w:r>
            <w:r>
              <w:rPr>
                <w:rFonts w:hint="eastAsia"/>
                <w:sz w:val="18"/>
                <w:lang w:val="zh-CN" w:eastAsia="zh-CN"/>
              </w:rPr>
              <w:fldChar w:fldCharType="separate"/>
            </w:r>
            <w:r>
              <w:rPr>
                <w:rFonts w:hint="eastAsia"/>
                <w:sz w:val="18"/>
                <w:lang w:val="zh-CN" w:eastAsia="zh-CN"/>
              </w:rPr>
              <w:t>护士执业证书核发（首次注册等）</w:t>
            </w:r>
            <w:r>
              <w:rPr>
                <w:rFonts w:hint="eastAsia"/>
                <w:sz w:val="18"/>
                <w:lang w:val="zh-CN" w:eastAsia="zh-CN"/>
              </w:rPr>
              <w:fldChar w:fldCharType="end"/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法律法规和政策文件；办事指南，包括：适用范围、办理依据、办理条件、申办材料、办理方式、办理流程、办理时限、咨询方式、咨询投诉渠道、办理地址和时间、办理进程、结果查询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【法律】《中华人民共和国行政许可法》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（中华人民共和国主席令第 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【行政法规】《护士条例》（中华人民共和国国务院令第 517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【国务院文件】《国务院关于取消和下放一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批行政许可事项的决定》（国发〔2019〕6号）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【部门规章及规范性文件】《国家卫生健康委关于做好下放护士执业注册审批有关工作的通知》（国卫医发〔2019〕37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【部门规章及规范性文件】《护士执业注册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管理办法》(中华人民共和国卫生部令第 59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5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br w:type="textWrapping"/>
            </w:r>
            <w:r>
              <w:rPr>
                <w:rFonts w:hint="eastAsia"/>
                <w:sz w:val="18"/>
                <w:lang w:val="zh-CN" w:eastAsia="zh-CN"/>
              </w:rPr>
              <w:t>乡村医生执业注册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t>乡村医生执业注册（再注册等）</w:t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法律法规和政策文件；办事指南，包括：适用范围、办理依据、受理机构、办理条件、申请材料、办理基本流程、办理方式、审批 </w:t>
            </w:r>
          </w:p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时限、咨询途径、监督和投诉渠道、办公地址和时间、公开查询方式等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</w:rPr>
              <w:t>【法律】《中华人民共和国行政许可法》 （中华人民共和国主席令第 7 号） 【法律】《中华人</w:t>
            </w:r>
            <w:bookmarkStart w:id="1" w:name="_GoBack"/>
            <w:bookmarkEnd w:id="1"/>
            <w:r>
              <w:rPr>
                <w:rFonts w:hint="eastAsia"/>
                <w:sz w:val="18"/>
              </w:rPr>
              <w:t>民共和国执业医师法》 （中华人民共和国主席令第 5 号 2009 年 8 月 27 日修正） 【行政法规】《乡村医生从业管理条例》 （中华人民共和国国务院令第 386 号）</w:t>
            </w: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6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t>医师执业证书核发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t>医师执业证书（注册、变更等）</w:t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法律法规和政策文件；办事指南，包括：适用范围、办理依据、受理机构、办理条件、申请材料、办理基本流程、办理方式、审批 </w:t>
            </w:r>
          </w:p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时限、咨询途径、监督和投诉渠道、办公地址和时间、公开查询方式等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【法律】《中华人民共和国行政许可法》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（中华人民共和国主席令第 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【法律】《中华人民共和国执业医师法》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（中华人民共和国主席令第 5 号 2009 年 8 月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27 日修正）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【部门规章及规范性文件】《医师执业注册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管理办法》（中华人民共和国国家卫生和计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划生育委员会令第 13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7</w:t>
            </w:r>
          </w:p>
        </w:tc>
        <w:tc>
          <w:tcPr>
            <w:tcW w:w="722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fldChar w:fldCharType="begin"/>
            </w:r>
            <w:r>
              <w:rPr>
                <w:rFonts w:hint="eastAsia"/>
                <w:sz w:val="18"/>
                <w:lang w:val="zh-CN" w:eastAsia="zh-CN"/>
              </w:rPr>
              <w:instrText xml:space="preserve"> HYPERLINK "http://19.15.0.100/zwml-admin/admin4/subject/implement/list/detail/a64b7aede6ba4c84bab4828d573b56b9" \t "http://19.15.0.100/zwml-admin/admin4/subject/implement/list/_blank" </w:instrText>
            </w:r>
            <w:r>
              <w:rPr>
                <w:rFonts w:hint="eastAsia"/>
                <w:sz w:val="18"/>
                <w:lang w:val="zh-CN" w:eastAsia="zh-CN"/>
              </w:rPr>
              <w:fldChar w:fldCharType="separate"/>
            </w:r>
            <w:r>
              <w:rPr>
                <w:rFonts w:hint="eastAsia"/>
                <w:sz w:val="18"/>
                <w:lang w:val="zh-CN" w:eastAsia="zh-CN"/>
              </w:rPr>
              <w:t>医疗机构设置审批</w:t>
            </w:r>
            <w:r>
              <w:rPr>
                <w:rFonts w:hint="eastAsia"/>
                <w:sz w:val="18"/>
                <w:lang w:val="zh-CN" w:eastAsia="zh-CN"/>
              </w:rPr>
              <w:fldChar w:fldCharType="end"/>
            </w:r>
            <w:r>
              <w:rPr>
                <w:rFonts w:hint="eastAsia"/>
                <w:sz w:val="18"/>
                <w:lang w:val="zh-CN" w:eastAsia="zh-CN"/>
              </w:rPr>
              <w:t>和执业许可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249" w:lineRule="auto"/>
              <w:ind w:left="179" w:right="170"/>
              <w:jc w:val="both"/>
              <w:rPr>
                <w:rFonts w:hint="eastAsia"/>
                <w:sz w:val="18"/>
                <w:lang w:val="zh-CN" w:eastAsia="zh-CN"/>
              </w:rPr>
            </w:pPr>
            <w:r>
              <w:rPr>
                <w:rFonts w:hint="eastAsia"/>
                <w:sz w:val="18"/>
                <w:lang w:val="zh-CN" w:eastAsia="zh-CN"/>
              </w:rPr>
              <w:fldChar w:fldCharType="begin"/>
            </w:r>
            <w:r>
              <w:rPr>
                <w:rFonts w:hint="eastAsia"/>
                <w:sz w:val="18"/>
                <w:lang w:val="zh-CN" w:eastAsia="zh-CN"/>
              </w:rPr>
              <w:instrText xml:space="preserve"> HYPERLINK "http://19.15.0.100/zwml-admin/admin4/subject/implement/list/detail/782f781c96a64b70b3991036c6dc319f" \t "http://19.15.0.100/zwml-admin/admin4/subject/implement/list/_blank" </w:instrText>
            </w:r>
            <w:r>
              <w:rPr>
                <w:rFonts w:hint="eastAsia"/>
                <w:sz w:val="18"/>
                <w:lang w:val="zh-CN" w:eastAsia="zh-CN"/>
              </w:rPr>
              <w:fldChar w:fldCharType="separate"/>
            </w:r>
            <w:r>
              <w:rPr>
                <w:rFonts w:hint="eastAsia"/>
                <w:sz w:val="18"/>
                <w:lang w:val="zh-CN" w:eastAsia="zh-CN"/>
              </w:rPr>
              <w:t>医疗机构执业许可（执业登记、校验、注销等）</w:t>
            </w:r>
            <w:r>
              <w:rPr>
                <w:rFonts w:hint="eastAsia"/>
                <w:sz w:val="18"/>
                <w:lang w:val="zh-CN" w:eastAsia="zh-CN"/>
              </w:rPr>
              <w:fldChar w:fldCharType="end"/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法律法规和政策文件；办事指南，包括：适用范围、办理依据、受理机构、办理条件、申请材料、办理基本流程、办理方式、审批 </w:t>
            </w:r>
          </w:p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时限、咨询途径、监督和投诉渠道、办公地址和时间、公开查询方式等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【法律】《中华人民共和国行政许可法》（中华人民共和国主席令第 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【法律】《中华人民共和国中医药法》（中华人民共和国主席令第 57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【行政法规】《医疗机构管理条例》（中华人民共和国国务院令第 149 号 2016 年 2 月 6 日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修订）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【国务院文件】《国务院关于取消和下放 50 项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行政审批项目等事项的决定》（国发〔2013〕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【部门规章及规范性文件】《医疗机构管理条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例实施细则》（中华人民共和国卫生部令第 35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【部门规章及规范性文件】《医疗美容服务管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理办法》（中华人民共和国卫生部令第 19 号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公布 2016 年 1 月 19 日修订）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before="138"/>
              <w:ind w:right="171"/>
              <w:jc w:val="right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8</w:t>
            </w:r>
          </w:p>
        </w:tc>
        <w:tc>
          <w:tcPr>
            <w:tcW w:w="722" w:type="dxa"/>
          </w:tcPr>
          <w:p>
            <w:pPr>
              <w:pStyle w:val="8"/>
              <w:spacing w:before="129" w:line="249" w:lineRule="auto"/>
              <w:ind w:left="179" w:right="170"/>
              <w:jc w:val="both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HYPERLINK "http://19.15.0.100/zwml-admin/admin4/subject/implement/list/detail/714c111f1aa949a5a20a7dbe1cd27cb5" \t "http://19.15.0.100/zwml-admin/admin4/subject/implement/list/_blank" </w:instrText>
            </w:r>
            <w:r>
              <w:rPr>
                <w:sz w:val="18"/>
              </w:rPr>
              <w:fldChar w:fldCharType="separate"/>
            </w:r>
            <w:r>
              <w:rPr>
                <w:rFonts w:hint="default"/>
                <w:sz w:val="18"/>
              </w:rPr>
              <w:t>助产技术服务、结扎手术、终止妊娠手术母婴保健技术服务执业许可证核发（新证）</w:t>
            </w:r>
            <w:r>
              <w:rPr>
                <w:rFonts w:hint="default"/>
                <w:sz w:val="18"/>
              </w:rPr>
              <w:fldChar w:fldCharType="end"/>
            </w:r>
          </w:p>
        </w:tc>
        <w:tc>
          <w:tcPr>
            <w:tcW w:w="963" w:type="dxa"/>
          </w:tcPr>
          <w:p>
            <w:pPr>
              <w:pStyle w:val="8"/>
              <w:spacing w:line="240" w:lineRule="atLeast"/>
              <w:ind w:left="108" w:right="96"/>
              <w:jc w:val="both"/>
              <w:rPr>
                <w:sz w:val="18"/>
              </w:rPr>
            </w:pP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HYPERLINK "http://19.15.0.100/zwml-admin/admin4/subject/implement/list/detail/714c111f1aa949a5a20a7dbe1cd27cb5" \t "http://19.15.0.100/zwml-admin/admin4/subject/implement/list/_blank" </w:instrText>
            </w:r>
            <w:r>
              <w:rPr>
                <w:sz w:val="18"/>
              </w:rPr>
              <w:fldChar w:fldCharType="separate"/>
            </w:r>
            <w:r>
              <w:rPr>
                <w:rFonts w:hint="default"/>
                <w:sz w:val="18"/>
              </w:rPr>
              <w:t>助产技术服务、结扎手术、终止妊娠手术母婴保健技术服务执业许可证核发（新证</w:t>
            </w:r>
            <w:r>
              <w:rPr>
                <w:rFonts w:hint="eastAsia"/>
                <w:sz w:val="18"/>
                <w:lang w:eastAsia="zh-CN"/>
              </w:rPr>
              <w:t>、校验、变更等</w:t>
            </w:r>
            <w:r>
              <w:rPr>
                <w:rFonts w:hint="default"/>
                <w:sz w:val="18"/>
              </w:rPr>
              <w:t>）</w:t>
            </w:r>
            <w:r>
              <w:rPr>
                <w:rFonts w:hint="default"/>
                <w:sz w:val="18"/>
              </w:rPr>
              <w:fldChar w:fldCharType="end"/>
            </w: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法律法规和政策文件；办事指南，包括：适用范围、办理依据、受理机构、办理条件、申请材料、办理基本流程、办理方式、审批 </w:t>
            </w:r>
          </w:p>
          <w:p>
            <w:pPr>
              <w:pStyle w:val="8"/>
              <w:spacing w:before="9" w:line="206" w:lineRule="exact"/>
              <w:ind w:left="107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时限、咨询途径、监督和投诉渠道、办公地址和时间、公开查询方式等 </w:t>
            </w:r>
          </w:p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【法律】《中华人民共和国行政许可法》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（中华人民共和国主席令第 7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【法律】《中华人民共和国母婴保健法》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（1994 年 10 月 27 日中华人民共和国主席令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第 33 号 2017 年 11 月 4 日修正）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【行政法规】《计划生育技术服务管理条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例》（中华人民共和国国务院令第 309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【行政法规】《中华人民共和国母婴保健法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实施办法》（中华人民共和国国务院令第 308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【国务院文件】《国务院关于第六批取消和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调整行政审批项目的决定》（国发〔2012〕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52 号）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【部门规章及规范性文件】《国家卫生健康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委关于修改&lt;职业健康检查管理办法&gt;等 4 部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门规章的决定》（中华人民共和国国家卫生 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健康委员会令第 2 号）</w:t>
            </w:r>
          </w:p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  <w:vAlign w:val="top"/>
          </w:tcPr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自信息形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成或者变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更之日起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20 个工作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日内予以 </w:t>
            </w:r>
          </w:p>
          <w:p>
            <w:pPr>
              <w:pStyle w:val="8"/>
              <w:spacing w:before="4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</w:t>
            </w:r>
          </w:p>
          <w:p>
            <w:pPr>
              <w:pStyle w:val="8"/>
              <w:spacing w:line="240" w:lineRule="atLeast"/>
              <w:ind w:left="106" w:leftChars="0" w:right="95" w:rightChars="0"/>
              <w:jc w:val="both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704" w:type="dxa"/>
            <w:vAlign w:val="top"/>
          </w:tcPr>
          <w:p>
            <w:pPr>
              <w:pStyle w:val="8"/>
              <w:spacing w:before="143" w:line="249" w:lineRule="auto"/>
              <w:ind w:left="170" w:leftChars="0" w:right="161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政府网站 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73"/>
              </w:tabs>
              <w:spacing w:before="143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公开查阅点</w:t>
            </w:r>
          </w:p>
          <w:p>
            <w:pPr>
              <w:pStyle w:val="8"/>
              <w:numPr>
                <w:ilvl w:val="0"/>
                <w:numId w:val="0"/>
              </w:numPr>
              <w:tabs>
                <w:tab w:val="left" w:pos="373"/>
              </w:tabs>
              <w:spacing w:before="143" w:after="0" w:line="249" w:lineRule="auto"/>
              <w:ind w:left="190" w:leftChars="0" w:right="182" w:rightChars="0" w:firstLine="0" w:firstLineChars="0"/>
              <w:jc w:val="left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685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252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7" w:leftChars="0" w:right="0" w:rightChars="0"/>
              <w:jc w:val="center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  <w:tc>
          <w:tcPr>
            <w:tcW w:w="556" w:type="dxa"/>
            <w:vAlign w:val="top"/>
          </w:tcPr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rPr>
                <w:sz w:val="18"/>
              </w:rPr>
            </w:pPr>
          </w:p>
          <w:p>
            <w:pPr>
              <w:pStyle w:val="8"/>
              <w:spacing w:before="140"/>
              <w:ind w:left="187" w:leftChars="0" w:right="0" w:rightChars="0"/>
              <w:rPr>
                <w:rFonts w:ascii="宋体" w:hAnsi="宋体" w:eastAsia="宋体" w:cs="宋体"/>
                <w:sz w:val="18"/>
                <w:szCs w:val="22"/>
                <w:lang w:val="zh-CN" w:eastAsia="zh-CN" w:bidi="zh-CN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  <w:vAlign w:val="top"/>
          </w:tcPr>
          <w:p>
            <w:pPr>
              <w:pStyle w:val="8"/>
              <w:ind w:left="0" w:leftChars="0" w:right="0" w:rightChars="0"/>
              <w:rPr>
                <w:rFonts w:ascii="Times New Roman" w:hAnsi="宋体" w:eastAsia="宋体" w:cs="宋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before="138"/>
              <w:ind w:right="171"/>
              <w:jc w:val="right"/>
              <w:rPr>
                <w:sz w:val="18"/>
              </w:rPr>
            </w:pPr>
          </w:p>
        </w:tc>
        <w:tc>
          <w:tcPr>
            <w:tcW w:w="722" w:type="dxa"/>
          </w:tcPr>
          <w:p>
            <w:pPr>
              <w:pStyle w:val="8"/>
              <w:spacing w:before="129" w:line="249" w:lineRule="auto"/>
              <w:ind w:left="179" w:right="170"/>
              <w:jc w:val="both"/>
              <w:rPr>
                <w:sz w:val="18"/>
              </w:rPr>
            </w:pPr>
          </w:p>
        </w:tc>
        <w:tc>
          <w:tcPr>
            <w:tcW w:w="963" w:type="dxa"/>
          </w:tcPr>
          <w:p>
            <w:pPr>
              <w:pStyle w:val="8"/>
              <w:spacing w:line="240" w:lineRule="atLeast"/>
              <w:ind w:left="108" w:right="96"/>
              <w:jc w:val="both"/>
              <w:rPr>
                <w:sz w:val="18"/>
              </w:rPr>
            </w:pP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</w:tcPr>
          <w:p>
            <w:pPr>
              <w:pStyle w:val="8"/>
              <w:spacing w:line="240" w:lineRule="atLeast"/>
              <w:ind w:left="106" w:right="95"/>
              <w:jc w:val="both"/>
              <w:rPr>
                <w:sz w:val="18"/>
              </w:rPr>
            </w:pPr>
          </w:p>
        </w:tc>
        <w:tc>
          <w:tcPr>
            <w:tcW w:w="704" w:type="dxa"/>
          </w:tcPr>
          <w:p>
            <w:pPr>
              <w:pStyle w:val="8"/>
              <w:spacing w:before="139" w:line="249" w:lineRule="auto"/>
              <w:ind w:left="170" w:right="161"/>
              <w:jc w:val="both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73"/>
              </w:tabs>
              <w:spacing w:before="139" w:after="0" w:line="249" w:lineRule="auto"/>
              <w:ind w:left="282" w:right="182" w:hanging="92"/>
              <w:jc w:val="left"/>
              <w:rPr>
                <w:sz w:val="18"/>
              </w:rPr>
            </w:pPr>
          </w:p>
        </w:tc>
        <w:tc>
          <w:tcPr>
            <w:tcW w:w="685" w:type="dxa"/>
          </w:tcPr>
          <w:p>
            <w:pPr>
              <w:pStyle w:val="8"/>
              <w:spacing w:before="138"/>
              <w:ind w:left="252"/>
              <w:rPr>
                <w:sz w:val="18"/>
              </w:rPr>
            </w:pPr>
          </w:p>
        </w:tc>
        <w:tc>
          <w:tcPr>
            <w:tcW w:w="66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00" w:type="dxa"/>
          </w:tcPr>
          <w:p>
            <w:pPr>
              <w:pStyle w:val="8"/>
              <w:spacing w:before="138"/>
              <w:ind w:left="7"/>
              <w:jc w:val="center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8"/>
              <w:spacing w:before="138"/>
              <w:ind w:left="187"/>
              <w:rPr>
                <w:sz w:val="18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before="138"/>
              <w:ind w:right="171"/>
              <w:jc w:val="right"/>
              <w:rPr>
                <w:sz w:val="18"/>
              </w:rPr>
            </w:pPr>
          </w:p>
        </w:tc>
        <w:tc>
          <w:tcPr>
            <w:tcW w:w="722" w:type="dxa"/>
          </w:tcPr>
          <w:p>
            <w:pPr>
              <w:pStyle w:val="8"/>
              <w:spacing w:before="129" w:line="249" w:lineRule="auto"/>
              <w:ind w:left="179" w:right="170"/>
              <w:jc w:val="both"/>
              <w:rPr>
                <w:sz w:val="18"/>
              </w:rPr>
            </w:pPr>
          </w:p>
        </w:tc>
        <w:tc>
          <w:tcPr>
            <w:tcW w:w="963" w:type="dxa"/>
          </w:tcPr>
          <w:p>
            <w:pPr>
              <w:pStyle w:val="8"/>
              <w:spacing w:line="240" w:lineRule="atLeast"/>
              <w:ind w:left="108" w:right="96"/>
              <w:jc w:val="both"/>
              <w:rPr>
                <w:sz w:val="18"/>
              </w:rPr>
            </w:pP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</w:tcPr>
          <w:p>
            <w:pPr>
              <w:pStyle w:val="8"/>
              <w:spacing w:line="240" w:lineRule="atLeast"/>
              <w:ind w:left="106" w:right="95"/>
              <w:jc w:val="both"/>
              <w:rPr>
                <w:sz w:val="18"/>
              </w:rPr>
            </w:pPr>
          </w:p>
        </w:tc>
        <w:tc>
          <w:tcPr>
            <w:tcW w:w="704" w:type="dxa"/>
          </w:tcPr>
          <w:p>
            <w:pPr>
              <w:pStyle w:val="8"/>
              <w:spacing w:before="139" w:line="249" w:lineRule="auto"/>
              <w:ind w:left="170" w:right="161"/>
              <w:jc w:val="both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73"/>
              </w:tabs>
              <w:spacing w:before="139" w:after="0" w:line="249" w:lineRule="auto"/>
              <w:ind w:left="282" w:right="182" w:hanging="92"/>
              <w:jc w:val="left"/>
              <w:rPr>
                <w:sz w:val="18"/>
              </w:rPr>
            </w:pPr>
          </w:p>
        </w:tc>
        <w:tc>
          <w:tcPr>
            <w:tcW w:w="685" w:type="dxa"/>
          </w:tcPr>
          <w:p>
            <w:pPr>
              <w:pStyle w:val="8"/>
              <w:spacing w:before="138"/>
              <w:ind w:left="252"/>
              <w:rPr>
                <w:sz w:val="18"/>
              </w:rPr>
            </w:pPr>
          </w:p>
        </w:tc>
        <w:tc>
          <w:tcPr>
            <w:tcW w:w="66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00" w:type="dxa"/>
          </w:tcPr>
          <w:p>
            <w:pPr>
              <w:pStyle w:val="8"/>
              <w:spacing w:before="138"/>
              <w:ind w:left="7"/>
              <w:jc w:val="center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8"/>
              <w:spacing w:before="138"/>
              <w:ind w:left="187"/>
              <w:rPr>
                <w:sz w:val="18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55" w:type="dxa"/>
          </w:tcPr>
          <w:p>
            <w:pPr>
              <w:pStyle w:val="8"/>
              <w:spacing w:before="138"/>
              <w:ind w:right="171"/>
              <w:jc w:val="right"/>
              <w:rPr>
                <w:sz w:val="18"/>
              </w:rPr>
            </w:pPr>
          </w:p>
        </w:tc>
        <w:tc>
          <w:tcPr>
            <w:tcW w:w="722" w:type="dxa"/>
          </w:tcPr>
          <w:p>
            <w:pPr>
              <w:pStyle w:val="8"/>
              <w:spacing w:before="129" w:line="249" w:lineRule="auto"/>
              <w:ind w:left="179" w:right="170"/>
              <w:jc w:val="both"/>
              <w:rPr>
                <w:sz w:val="18"/>
              </w:rPr>
            </w:pPr>
          </w:p>
        </w:tc>
        <w:tc>
          <w:tcPr>
            <w:tcW w:w="963" w:type="dxa"/>
          </w:tcPr>
          <w:p>
            <w:pPr>
              <w:pStyle w:val="8"/>
              <w:spacing w:line="240" w:lineRule="atLeast"/>
              <w:ind w:left="108" w:right="96"/>
              <w:jc w:val="both"/>
              <w:rPr>
                <w:sz w:val="18"/>
              </w:rPr>
            </w:pPr>
          </w:p>
        </w:tc>
        <w:tc>
          <w:tcPr>
            <w:tcW w:w="3574" w:type="dxa"/>
          </w:tcPr>
          <w:p>
            <w:pPr>
              <w:pStyle w:val="8"/>
              <w:spacing w:before="9" w:line="206" w:lineRule="exact"/>
              <w:ind w:left="107"/>
              <w:rPr>
                <w:sz w:val="18"/>
              </w:rPr>
            </w:pPr>
          </w:p>
        </w:tc>
        <w:tc>
          <w:tcPr>
            <w:tcW w:w="2259" w:type="dxa"/>
          </w:tcPr>
          <w:p>
            <w:pPr>
              <w:pStyle w:val="8"/>
              <w:spacing w:before="36" w:line="324" w:lineRule="auto"/>
              <w:ind w:left="107" w:right="159"/>
              <w:rPr>
                <w:sz w:val="18"/>
              </w:rPr>
            </w:pPr>
          </w:p>
        </w:tc>
        <w:tc>
          <w:tcPr>
            <w:tcW w:w="1815" w:type="dxa"/>
          </w:tcPr>
          <w:p>
            <w:pPr>
              <w:pStyle w:val="8"/>
              <w:spacing w:line="240" w:lineRule="atLeast"/>
              <w:ind w:left="106" w:right="95"/>
              <w:jc w:val="both"/>
              <w:rPr>
                <w:sz w:val="18"/>
              </w:rPr>
            </w:pPr>
          </w:p>
        </w:tc>
        <w:tc>
          <w:tcPr>
            <w:tcW w:w="704" w:type="dxa"/>
          </w:tcPr>
          <w:p>
            <w:pPr>
              <w:pStyle w:val="8"/>
              <w:spacing w:before="139" w:line="249" w:lineRule="auto"/>
              <w:ind w:left="170" w:right="161"/>
              <w:jc w:val="both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73"/>
              </w:tabs>
              <w:spacing w:before="139" w:after="0" w:line="249" w:lineRule="auto"/>
              <w:ind w:left="282" w:right="182" w:hanging="92"/>
              <w:jc w:val="left"/>
              <w:rPr>
                <w:sz w:val="18"/>
              </w:rPr>
            </w:pPr>
          </w:p>
        </w:tc>
        <w:tc>
          <w:tcPr>
            <w:tcW w:w="685" w:type="dxa"/>
          </w:tcPr>
          <w:p>
            <w:pPr>
              <w:pStyle w:val="8"/>
              <w:spacing w:before="138"/>
              <w:ind w:left="252"/>
              <w:rPr>
                <w:sz w:val="18"/>
              </w:rPr>
            </w:pPr>
          </w:p>
        </w:tc>
        <w:tc>
          <w:tcPr>
            <w:tcW w:w="66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00" w:type="dxa"/>
          </w:tcPr>
          <w:p>
            <w:pPr>
              <w:pStyle w:val="8"/>
              <w:spacing w:before="138"/>
              <w:ind w:left="7"/>
              <w:jc w:val="center"/>
              <w:rPr>
                <w:sz w:val="18"/>
              </w:rPr>
            </w:pPr>
          </w:p>
        </w:tc>
        <w:tc>
          <w:tcPr>
            <w:tcW w:w="926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8"/>
              <w:spacing w:before="138"/>
              <w:ind w:left="187"/>
              <w:rPr>
                <w:sz w:val="18"/>
              </w:rPr>
            </w:pPr>
          </w:p>
        </w:tc>
        <w:tc>
          <w:tcPr>
            <w:tcW w:w="549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r:id="rId5" w:type="default"/>
          <w:type w:val="continuous"/>
          <w:pgSz w:w="16840" w:h="11910" w:orient="landscape"/>
          <w:pgMar w:top="1100" w:right="760" w:bottom="1160" w:left="560" w:header="720" w:footer="975" w:gutter="0"/>
          <w:cols w:space="720" w:num="1"/>
        </w:sectPr>
      </w:pPr>
    </w:p>
    <w:p>
      <w:pPr>
        <w:pStyle w:val="2"/>
        <w:spacing w:before="77"/>
      </w:pPr>
    </w:p>
    <w:sectPr>
      <w:footerReference r:id="rId6" w:type="default"/>
      <w:pgSz w:w="16840" w:h="11910" w:orient="landscape"/>
      <w:pgMar w:top="1100" w:right="760" w:bottom="1380" w:left="560" w:header="0" w:footer="11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6800850</wp:posOffset>
              </wp:positionV>
              <wp:extent cx="838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35.5pt;height:11pt;width:6.6pt;mso-position-horizontal-relative:page;mso-position-vertical-relative:page;z-index:-251657216;mso-width-relative:page;mso-height-relative:page;" filled="f" stroked="f" coordsize="21600,21600" o:gfxdata="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S801D2wAAAA0BAAAPAAAAAAAAAAEAIAAAACIAAABkcnMvZG93bnJldi54bWxQSwEC&#10;FAAUAAAACACHTuJAPQ74+bgBAABwAwAADgAAAAAAAAABACAAAAAq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6661150</wp:posOffset>
              </wp:positionV>
              <wp:extent cx="838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24.5pt;height:11pt;width:6.6pt;mso-position-horizontal-relative:page;mso-position-vertical-relative:page;z-index:-251656192;mso-width-relative:page;mso-height-relative:page;" filled="f" stroked="f" coordsize="21600,21600" o:gfxdata="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tbitp2gAAAA0BAAAPAAAAAAAAAAEAIAAAACIAAABkcnMvZG93bnJldi54bWxQSwEC&#10;FAAUAAAACACHTuJA2oubnLkBAABw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0"/>
      <w:numFmt w:val="bullet"/>
      <w:lvlText w:val="■"/>
      <w:lvlJc w:val="left"/>
      <w:pPr>
        <w:ind w:left="282" w:hanging="181"/>
      </w:pPr>
      <w:rPr>
        <w:rFonts w:hint="default" w:ascii="宋体" w:hAnsi="宋体" w:eastAsia="宋体" w:cs="宋体"/>
        <w:spacing w:val="-16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3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70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" w:hanging="181"/>
      </w:pPr>
      <w:rPr>
        <w:rFonts w:hint="default"/>
        <w:lang w:val="zh-CN" w:eastAsia="zh-CN" w:bidi="zh-CN"/>
      </w:rPr>
    </w:lvl>
  </w:abstractNum>
  <w:abstractNum w:abstractNumId="1">
    <w:nsid w:val="59ADCABA"/>
    <w:multiLevelType w:val="multilevel"/>
    <w:tmpl w:val="59ADCABA"/>
    <w:lvl w:ilvl="0" w:tentative="0">
      <w:start w:val="0"/>
      <w:numFmt w:val="bullet"/>
      <w:lvlText w:val="■"/>
      <w:lvlJc w:val="left"/>
      <w:pPr>
        <w:ind w:left="282" w:hanging="181"/>
      </w:pPr>
      <w:rPr>
        <w:rFonts w:hint="default" w:ascii="宋体" w:hAnsi="宋体" w:eastAsia="宋体" w:cs="宋体"/>
        <w:spacing w:val="-16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3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70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" w:hanging="18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YzlhMGMxNGYyYzFlODFlZDI5NTJkOTI5ZmUzMmYifQ=="/>
  </w:docVars>
  <w:rsids>
    <w:rsidRoot w:val="00000000"/>
    <w:rsid w:val="09387F22"/>
    <w:rsid w:val="1A33334F"/>
    <w:rsid w:val="20535183"/>
    <w:rsid w:val="22BC560D"/>
    <w:rsid w:val="25E9781D"/>
    <w:rsid w:val="2C837110"/>
    <w:rsid w:val="35B72FD8"/>
    <w:rsid w:val="3A4C77CA"/>
    <w:rsid w:val="3FBB2D51"/>
    <w:rsid w:val="42D25818"/>
    <w:rsid w:val="445B7AD4"/>
    <w:rsid w:val="4B702C5B"/>
    <w:rsid w:val="56CD18DF"/>
    <w:rsid w:val="5B6B590F"/>
    <w:rsid w:val="5F6B2D08"/>
    <w:rsid w:val="60322B60"/>
    <w:rsid w:val="67C049DA"/>
    <w:rsid w:val="6C33345B"/>
    <w:rsid w:val="75992ADD"/>
    <w:rsid w:val="77906D68"/>
    <w:rsid w:val="7A681449"/>
    <w:rsid w:val="7E3E1710"/>
    <w:rsid w:val="7F014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2492</Words>
  <Characters>2580</Characters>
  <TotalTime>12</TotalTime>
  <ScaleCrop>false</ScaleCrop>
  <LinksUpToDate>false</LinksUpToDate>
  <CharactersWithSpaces>2800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2020-12-02T02:02:00Z</dcterms:created>
  <dc:creator>USER</dc:creator>
  <cp:lastModifiedBy>.</cp:lastModifiedBy>
  <dcterms:modified xsi:type="dcterms:W3CDTF">2022-09-08T09:42:48Z</dcterms:modified>
  <dc:title>扶贫领域基层政务公开标准目录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2020-12-02T00:00:00Z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5C2B58E1DBA94FC29537D9D02FE13CE7</vt:lpwstr>
  </property>
</Properties>
</file>