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阳江高新区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城乡规划领域基层政务公开标准目录</w:t>
      </w:r>
    </w:p>
    <w:tbl>
      <w:tblPr>
        <w:tblStyle w:val="2"/>
        <w:tblpPr w:leftFromText="180" w:rightFromText="180" w:vertAnchor="text" w:horzAnchor="page" w:tblpX="841" w:tblpY="80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260"/>
        <w:gridCol w:w="1980"/>
        <w:gridCol w:w="1800"/>
        <w:gridCol w:w="1620"/>
        <w:gridCol w:w="1800"/>
        <w:gridCol w:w="144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公开事项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公开内容（要素）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公开依据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公开时限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公开主体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公开渠道和载体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公开对象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公开方式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一级事项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二级事项</w:t>
            </w: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2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2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2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2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1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全社会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特定群众</w:t>
            </w: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主动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依申请公开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县级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规划许可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"/>
              </w:rPr>
              <w:t>建设项目用地预审与选址意见书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新办、变更、延续、补证、注销的办理情况（涉密项目除外）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《城乡规划法》、《政府信息公开条例》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信息形成或者变更之日起20个工作日内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自然资源管理部门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■政府网站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■政府服务中心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建设用地规划许可证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新办、变更、延续、补证、注销的办理情况（涉密项目除外）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《城乡规划法》、《政府信息公开条例》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信息形成或者变更之日起20个工作日内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自然资源管理部门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■政府网站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■政府服务中心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建设工程规划许可证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新办、变更、延续、补证、注销的办理情况（涉密项目除外）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《城乡规划法》、《政府信息公开条例》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信息形成或者变更之日起20个工作日内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自然资源管理部门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■政府网站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■政府服务中心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乡村建设规划许可证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新办、变更、延续、补证、注销的办理情况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《城乡规划法》、《政府信息公开条例》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信息形成或者变更之日起20个工作日内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自然资源管理部门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■政府网站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■政府服务中心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规划编制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城市、镇总体规划及同级的土地利用规划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规划批准文件、脱密后的文本及图纸等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《土地管理法》、《城乡规划法》、《政府信息公开条例》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信息形成或者变更之日起20个工作日内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自然资源管理部门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 xml:space="preserve">■政府网站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■政府服务中心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乡规划及同级的土地利用规划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脱密后的文本及图纸等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《土地管理法》、《城乡规划法》、《政府信息公开条例》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信息形成或者变更之日起20个工作日内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自然资源管理部门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 xml:space="preserve">■政府网站  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■政府服务中心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城市、镇详细规划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脱密后的文本及图表等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《城乡规划法》、《政府信息公开条例》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信息形成或者变更之日起20个工作日内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自然资源管理部门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 xml:space="preserve">■政府网站  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 xml:space="preserve">■政府服务中心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规划编制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部分村庄编制完成的村庄规划、村土地利用规划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脱密后的文本及附图等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《土地管理法》、《城乡规划法》、《政府信息公开条例》、《国土资源部关于有序开展村土地利用规划编制工作的指导意见》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信息形成或者变更之日起20个工作日内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自然资源管理部门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 xml:space="preserve">■政府网站  </w:t>
            </w:r>
          </w:p>
          <w:p>
            <w:pPr>
              <w:widowControl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 xml:space="preserve">■政府服务中心 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√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97916"/>
    <w:rsid w:val="0F09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2020-12-15T02:51:00Z</dcterms:created>
  <dc:creator>新雄</dc:creator>
  <cp:lastModifiedBy>新雄</cp:lastModifiedBy>
  <dcterms:modified xsi:type="dcterms:W3CDTF">2020-12-15T02:52:02Z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